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9B1C9" w14:textId="77777777" w:rsidR="00885165" w:rsidRPr="00885165" w:rsidRDefault="00885165" w:rsidP="00885165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ПОЯСНЮВАЛЬНА ЗАПИСКА</w:t>
      </w:r>
    </w:p>
    <w:p w14:paraId="1EFEEBED" w14:textId="681D9075" w:rsidR="009B2406" w:rsidRDefault="00885165" w:rsidP="00885165">
      <w:pPr>
        <w:spacing w:before="240" w:after="240" w:line="240" w:lineRule="auto"/>
        <w:ind w:firstLine="70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до проєкту </w:t>
      </w:r>
      <w:r w:rsidR="00F3729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постанови</w:t>
      </w:r>
      <w:r w:rsidRPr="008851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Кабінету Міністрів України «Про </w:t>
      </w:r>
      <w:r w:rsidR="00CC20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затвердження</w:t>
      </w:r>
      <w:r w:rsidRPr="008851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Д</w:t>
      </w:r>
      <w:r w:rsidRPr="008851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ержавної цільової програми комплексного водозабезпечення територій, які зазнали впливу </w:t>
      </w:r>
      <w:r w:rsidR="003617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воєнних</w:t>
      </w:r>
      <w:r w:rsidRPr="008851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дій, </w:t>
      </w:r>
    </w:p>
    <w:p w14:paraId="11E67045" w14:textId="34ADB24C" w:rsidR="00885165" w:rsidRPr="00885165" w:rsidRDefault="009B2406" w:rsidP="00885165">
      <w:pPr>
        <w:spacing w:before="240" w:after="240" w:line="240" w:lineRule="auto"/>
        <w:ind w:firstLine="700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на період </w:t>
      </w:r>
      <w:r w:rsidR="00FF3B9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до 2030 року</w:t>
      </w:r>
      <w:r w:rsidR="00885165" w:rsidRPr="008851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»</w:t>
      </w:r>
    </w:p>
    <w:p w14:paraId="506DD178" w14:textId="55D2B53D" w:rsidR="00885165" w:rsidRPr="00FB5742" w:rsidRDefault="00885165" w:rsidP="00885165">
      <w:pPr>
        <w:shd w:val="clear" w:color="auto" w:fill="FFFFFF"/>
        <w:spacing w:after="24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uk-UA"/>
          <w14:ligatures w14:val="none"/>
        </w:rPr>
      </w:pPr>
    </w:p>
    <w:p w14:paraId="2009D099" w14:textId="13238C86" w:rsidR="00885165" w:rsidRPr="00885165" w:rsidRDefault="00885165" w:rsidP="00885165">
      <w:pPr>
        <w:spacing w:after="120" w:line="240" w:lineRule="auto"/>
        <w:ind w:left="920" w:right="-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1.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8851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Мета</w:t>
      </w:r>
    </w:p>
    <w:p w14:paraId="3394358E" w14:textId="52BBACC2" w:rsidR="00885165" w:rsidRPr="00885165" w:rsidRDefault="00885165" w:rsidP="00885165">
      <w:pPr>
        <w:spacing w:before="240" w:after="24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Проєкт </w:t>
      </w:r>
      <w:r w:rsidR="00F372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постанови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Кабінету Міністрів України «Про </w:t>
      </w:r>
      <w:r w:rsidR="00CC20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затвердження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ержавної цільової програми комплексного водозабезпечення територій, які зазнали впливу </w:t>
      </w:r>
      <w:r w:rsidR="003617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воєнних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дій, на період</w:t>
      </w:r>
      <w:r w:rsidR="009B24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до 2030 року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» (далі – проєкт </w:t>
      </w:r>
      <w:proofErr w:type="spellStart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) розроблено з метою </w:t>
      </w:r>
      <w:r w:rsidRPr="0088516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 xml:space="preserve">гарантування доступу населення </w:t>
      </w:r>
      <w:r w:rsidR="00015213" w:rsidRPr="0088516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на територі</w:t>
      </w:r>
      <w:r w:rsidR="0001521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ях,</w:t>
      </w:r>
      <w:r w:rsidR="00015213" w:rsidRPr="0088516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 xml:space="preserve"> </w:t>
      </w:r>
      <w:r w:rsidR="00015213" w:rsidRPr="000B074D">
        <w:rPr>
          <w:rFonts w:ascii="Times New Roman" w:hAnsi="Times New Roman" w:cs="Times New Roman"/>
          <w:bCs/>
          <w:sz w:val="28"/>
          <w:szCs w:val="28"/>
        </w:rPr>
        <w:t xml:space="preserve">які зазнали впливу </w:t>
      </w:r>
      <w:r w:rsidR="00361752">
        <w:rPr>
          <w:rFonts w:ascii="Times New Roman" w:hAnsi="Times New Roman" w:cs="Times New Roman"/>
          <w:bCs/>
          <w:sz w:val="28"/>
          <w:szCs w:val="28"/>
        </w:rPr>
        <w:t>воєнних</w:t>
      </w:r>
      <w:r w:rsidR="00015213" w:rsidRPr="000B074D">
        <w:rPr>
          <w:rFonts w:ascii="Times New Roman" w:hAnsi="Times New Roman" w:cs="Times New Roman"/>
          <w:bCs/>
          <w:sz w:val="28"/>
          <w:szCs w:val="28"/>
        </w:rPr>
        <w:t xml:space="preserve"> дій</w:t>
      </w:r>
      <w:r w:rsidR="0001521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 xml:space="preserve">, </w:t>
      </w:r>
      <w:r w:rsidRPr="0088516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до відновлюваних, безпечних та еко</w:t>
      </w:r>
      <w:r w:rsidR="0036175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номічно доступних водних джерел</w:t>
      </w:r>
      <w:r w:rsidRPr="0088516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, а також запобігання розвитку негативних соціально-економічних тенденцій</w:t>
      </w:r>
      <w:r w:rsidR="002B43BE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,</w:t>
      </w:r>
      <w:r w:rsidRPr="0088516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 xml:space="preserve"> </w:t>
      </w:r>
      <w:r w:rsidR="002B43BE" w:rsidRPr="0088516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що виникли у зв’язку з повним або ж частковим руйнуванням інфраструктури водозабезпечення, а також втратою Каховського водосховища як джерела водопостачання</w:t>
      </w:r>
      <w:r w:rsidRPr="0088516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.</w:t>
      </w:r>
    </w:p>
    <w:p w14:paraId="57D7565C" w14:textId="77777777" w:rsidR="00885165" w:rsidRPr="00885165" w:rsidRDefault="00885165" w:rsidP="00885165">
      <w:pPr>
        <w:shd w:val="clear" w:color="auto" w:fill="FFFFFF"/>
        <w:spacing w:after="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</w:p>
    <w:p w14:paraId="7B18F616" w14:textId="5D28E536" w:rsidR="00885165" w:rsidRPr="00885165" w:rsidRDefault="00885165" w:rsidP="00885165">
      <w:pPr>
        <w:spacing w:after="120" w:line="240" w:lineRule="auto"/>
        <w:ind w:left="920" w:right="-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2.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8851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Обґрунтування необхідності прийняття акта</w:t>
      </w:r>
    </w:p>
    <w:p w14:paraId="6D76C90D" w14:textId="187440FE" w:rsidR="00F629F9" w:rsidRDefault="00F629F9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629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</w:t>
      </w:r>
      <w:r w:rsidR="00FF3B9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оєнні </w:t>
      </w:r>
      <w:r w:rsidRPr="00F629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дії, що тривають з 2014 року, призвели до критичної ситуації щодо забезпечення водою</w:t>
      </w:r>
      <w:r w:rsidR="000C38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у Донецькій та Луганській областях.</w:t>
      </w:r>
      <w:r w:rsidRPr="00F629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015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Військова агресія російської федерації </w:t>
      </w:r>
      <w:r w:rsidRPr="00F629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стал</w:t>
      </w:r>
      <w:r w:rsidR="00015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</w:t>
      </w:r>
      <w:r w:rsidRPr="00F629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причиною часткового руйнування, а інколи й повного знищення систем водозабезпечення та систем </w:t>
      </w:r>
      <w:proofErr w:type="spellStart"/>
      <w:r w:rsidRPr="00F629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міжбасейнового</w:t>
      </w:r>
      <w:proofErr w:type="spellEnd"/>
      <w:r w:rsidRPr="00F629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пере</w:t>
      </w:r>
      <w:r w:rsidR="008113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розподілу</w:t>
      </w:r>
      <w:r w:rsidRPr="00F629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водних ресурсів. Насосне та технологічне обладнання, </w:t>
      </w:r>
      <w:r w:rsidR="00015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гідротехнічні споруди, </w:t>
      </w:r>
      <w:r w:rsidRPr="00F629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канали та трубопроводи зазнали значних руйнувань, знищення та розкрадань. Ці фактори призвели до погіршення або до повного припинення водозабезпечення, що в свою чергу </w:t>
      </w:r>
      <w:r w:rsidR="007F1D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негативно вплинуло на економі</w:t>
      </w:r>
      <w:r w:rsidR="003617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чний розвиток та гуманітарну ситуацію в регіонах</w:t>
      </w:r>
      <w:r w:rsidRPr="00F629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4A985A16" w14:textId="4C29AD63" w:rsidR="00F81AB5" w:rsidRDefault="00885165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</w:t>
      </w:r>
      <w:r w:rsidR="00B146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є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кт </w:t>
      </w:r>
      <w:proofErr w:type="spellStart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розроблено відповідно до вимог Водного кодексу України та цілі 1 Водної стратегії України до 2050 року, схваленої розпорядженням Кабінету Міністрів України від 09 грудня 2022 р. № 1134</w:t>
      </w:r>
      <w:r w:rsidR="00F81AB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566E1BC3" w14:textId="3563CFF9" w:rsidR="00885165" w:rsidRPr="00885165" w:rsidRDefault="00F81AB5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</w:t>
      </w:r>
      <w:r w:rsidR="00B146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є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кт </w:t>
      </w:r>
      <w:proofErr w:type="spellStart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885165"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спрямований на реалізацію державної політики щодо поліпшення забезпечення якісною водою населення і галузей економіки, створення умов для стабільного водозабезпечення територій, що зазнали впливу воєнних дій, а також внаслідок руйнування греблі Каховської ГЕС.</w:t>
      </w:r>
    </w:p>
    <w:p w14:paraId="592BF682" w14:textId="258F2E81" w:rsidR="00885165" w:rsidRPr="00885165" w:rsidRDefault="00885165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</w:t>
      </w:r>
      <w:r w:rsidR="00B146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є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кт </w:t>
      </w:r>
      <w:proofErr w:type="spellStart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підготовлено відповідно до положень Указу Президента України від 30 вересня 2019 року № 722/2019 «Про </w:t>
      </w:r>
      <w:r w:rsidR="00D048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Ц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ілі сталого розвитку України на період до 2030 року».</w:t>
      </w:r>
    </w:p>
    <w:p w14:paraId="245E7056" w14:textId="0A3E771F" w:rsidR="00885165" w:rsidRPr="00885165" w:rsidRDefault="00885165" w:rsidP="00885165">
      <w:pPr>
        <w:shd w:val="clear" w:color="auto" w:fill="FFFFFF"/>
        <w:spacing w:after="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Прийняття проєкту </w:t>
      </w:r>
      <w:proofErr w:type="spellStart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5B41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є важливим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для підвищення рівня водної безпеки та </w:t>
      </w:r>
      <w:r w:rsidR="005B41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зниження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ризиків, пов’язаних з доступом населення і </w:t>
      </w:r>
      <w:r w:rsidR="006A13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суб’єктів господарювання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0C38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до </w:t>
      </w:r>
      <w:r w:rsidR="005B41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водн</w:t>
      </w:r>
      <w:r w:rsidR="008113F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их ресурсів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56085314" w14:textId="77777777" w:rsidR="00885165" w:rsidRPr="00885165" w:rsidRDefault="00885165" w:rsidP="00885165">
      <w:pPr>
        <w:shd w:val="clear" w:color="auto" w:fill="FFFFFF"/>
        <w:spacing w:after="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</w:p>
    <w:p w14:paraId="18681D2E" w14:textId="77777777" w:rsidR="00885165" w:rsidRPr="00885165" w:rsidRDefault="00885165" w:rsidP="00885165">
      <w:pPr>
        <w:spacing w:after="120" w:line="240" w:lineRule="auto"/>
        <w:ind w:left="9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lastRenderedPageBreak/>
        <w:t>3.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  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ab/>
      </w:r>
      <w:r w:rsidRPr="008851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Основні положення проєкту </w:t>
      </w:r>
      <w:proofErr w:type="spellStart"/>
      <w:r w:rsidRPr="008851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</w:p>
    <w:p w14:paraId="6D342B4D" w14:textId="6B60C237" w:rsidR="00885165" w:rsidRPr="00885165" w:rsidRDefault="00885165" w:rsidP="00885165">
      <w:pPr>
        <w:shd w:val="clear" w:color="auto" w:fill="FFFFFF"/>
        <w:spacing w:after="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proofErr w:type="spellStart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Проєктом</w:t>
      </w:r>
      <w:proofErr w:type="spellEnd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передбачається </w:t>
      </w:r>
      <w:r w:rsidR="00CC20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затвердження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ержавної цільової програми комплексного водозабезпечення територій, які зазнали впливу </w:t>
      </w:r>
      <w:r w:rsidR="003617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воєнних</w:t>
      </w:r>
      <w:r w:rsidR="007060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дій, на період </w:t>
      </w:r>
      <w:r w:rsidR="009B24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до 2030 року </w:t>
      </w:r>
      <w:r w:rsidR="007060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(далі – Програма)</w:t>
      </w:r>
      <w:r w:rsidR="003617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0D03C905" w14:textId="1DCC59AE" w:rsidR="000C381F" w:rsidRDefault="000C381F" w:rsidP="000C381F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Проєкт </w:t>
      </w:r>
      <w:proofErr w:type="spellStart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спрямований на відновлення </w:t>
      </w:r>
      <w:r w:rsidRPr="0088516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 xml:space="preserve">водозабезпечення для задоволення потреб населення та економіки областей, які постраждали внаслідок руйнування інфраструктури водозабезпечення під час воєнних дій, </w:t>
      </w:r>
      <w:r w:rsidR="00B14609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у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 xml:space="preserve"> тому числі</w:t>
      </w:r>
      <w:r w:rsidRPr="0088516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 xml:space="preserve"> </w:t>
      </w:r>
      <w:r w:rsidR="006A13AC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 xml:space="preserve">від </w:t>
      </w:r>
      <w:r w:rsidRPr="0088516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втрати Каховського водосховища.</w:t>
      </w:r>
    </w:p>
    <w:p w14:paraId="6422ED16" w14:textId="7A07B9AE" w:rsidR="00706054" w:rsidRDefault="00706054" w:rsidP="00706054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Реалізацію проєкту </w:t>
      </w:r>
      <w:proofErr w:type="spellStart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планується здійснювати на території </w:t>
      </w:r>
      <w:r w:rsidRPr="0088516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Дніпропетровської, Донецької, Запорізької, Луганської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,</w:t>
      </w:r>
      <w:r w:rsidRPr="0088516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 xml:space="preserve"> Миколаївської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>, Кіровоградської, Одеської, Харківської</w:t>
      </w:r>
      <w:r w:rsidRPr="0088516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uk-UA"/>
          <w14:ligatures w14:val="none"/>
        </w:rPr>
        <w:t xml:space="preserve"> та Херсонської областей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</w:t>
      </w:r>
    </w:p>
    <w:p w14:paraId="2ED78704" w14:textId="196CA87F" w:rsidR="00885165" w:rsidRPr="00885165" w:rsidRDefault="00706054" w:rsidP="00FF3B96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Програмою передбачено виконання заходів</w:t>
      </w:r>
      <w:r w:rsidR="00FF3B96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що дозволять </w:t>
      </w:r>
      <w:r w:rsidR="00885165"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здійснити технічний аудит пошкоджених внаслідок російської агресії об'єктів інфраструктури</w:t>
      </w:r>
      <w:r w:rsidR="00E9697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водозабезпечення</w:t>
      </w:r>
      <w:r w:rsidR="00885165"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реалізувати можливості альтернативного та резервного забезпечення підземними водами регіонів та забезпечити відновлення та </w:t>
      </w:r>
      <w:r w:rsidR="00D44D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модернізацію</w:t>
      </w:r>
      <w:r w:rsidR="00885165"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гідротехнічних </w:t>
      </w:r>
      <w:r w:rsidR="00D44D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споруд</w:t>
      </w:r>
      <w:r w:rsidR="00885165"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що використовуються для задоволення потреб населення і галузей економіки у водних ресурсах</w:t>
      </w:r>
      <w:r w:rsidR="00D44D5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53F87776" w14:textId="7BAEC3E7" w:rsidR="000C381F" w:rsidRPr="00885165" w:rsidRDefault="00885165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</w:p>
    <w:p w14:paraId="0B24E99D" w14:textId="4B465F76" w:rsidR="00885165" w:rsidRPr="00885165" w:rsidRDefault="00885165" w:rsidP="00885165">
      <w:pPr>
        <w:spacing w:after="120" w:line="240" w:lineRule="auto"/>
        <w:ind w:left="9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4.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8851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Правові аспекти</w:t>
      </w:r>
    </w:p>
    <w:p w14:paraId="2FE82AA0" w14:textId="648897F1" w:rsidR="00885165" w:rsidRPr="00885165" w:rsidRDefault="00D44D5E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1. </w:t>
      </w:r>
      <w:r w:rsidR="00885165"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Водний кодекс України</w:t>
      </w:r>
      <w:r w:rsidR="00B146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78B7FBE3" w14:textId="34D543A0" w:rsidR="00885165" w:rsidRPr="00885165" w:rsidRDefault="00D44D5E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2. </w:t>
      </w:r>
      <w:r w:rsidR="00885165" w:rsidRPr="0088516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Кодекс України про надра</w:t>
      </w:r>
      <w:r w:rsidR="00B1460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55263501" w14:textId="052406DC" w:rsidR="00885165" w:rsidRPr="00885165" w:rsidRDefault="00127225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3.</w:t>
      </w:r>
      <w:r w:rsidR="00B1460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885165" w:rsidRPr="0088516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Закон України «Про охорону навколишнього природного середовища»</w:t>
      </w:r>
      <w:r w:rsidR="00B1460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35CC5A9B" w14:textId="5F783C75" w:rsidR="00885165" w:rsidRPr="00885165" w:rsidRDefault="00127225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4. </w:t>
      </w:r>
      <w:r w:rsidR="00885165" w:rsidRPr="0088516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Закон України «Про основні засади (стратегію) державної екологічної політики України на період до 2030 року»</w:t>
      </w:r>
      <w:r w:rsidR="00B1460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7BBCADB8" w14:textId="7548D8CD" w:rsidR="00885165" w:rsidRPr="00885165" w:rsidRDefault="00127225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5. </w:t>
      </w:r>
      <w:r w:rsidR="00885165" w:rsidRPr="0088516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Водна стратегія України до 2050 року, схвалена розпорядженням Кабінету Міністрів України від 09 грудня 2022 р. № 1134</w:t>
      </w:r>
      <w:r w:rsidR="00B1460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10615BA4" w14:textId="7CC0117E" w:rsidR="00885165" w:rsidRPr="00885165" w:rsidRDefault="00127225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6. </w:t>
      </w:r>
      <w:r w:rsidR="00885165" w:rsidRPr="0088516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Стратегія зрошення та дренажу в Україні на період до 2030 року, схвалена розпорядженням Кабінету Міністрів України від 14 серпня 2019 року № 688</w:t>
      </w:r>
      <w:r w:rsidR="00B146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0205565C" w14:textId="1C6B2278" w:rsidR="00885165" w:rsidRPr="00885165" w:rsidRDefault="00127225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7. </w:t>
      </w:r>
      <w:r w:rsidR="00885165"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Указ Президента України від 30 вересня 2019 року № 722/2019 «Про цілі сталого розвитку України на період до 2030 року»</w:t>
      </w:r>
      <w:r w:rsidR="00B146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21CEA83E" w14:textId="51A7C719" w:rsidR="00885165" w:rsidRPr="00885165" w:rsidRDefault="00127225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8. </w:t>
      </w:r>
      <w:r w:rsidR="00885165"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Указ Президента України від 13 серпня 2021 року № 357 «Про рішення Ради національної безпеки і оборони України від 30 липня 2021 року «Про стан водних ресурсів України».</w:t>
      </w:r>
    </w:p>
    <w:p w14:paraId="10191B6F" w14:textId="77777777" w:rsidR="00885165" w:rsidRPr="00885165" w:rsidRDefault="00885165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</w:p>
    <w:p w14:paraId="2E3E31B0" w14:textId="612DCD89" w:rsidR="00885165" w:rsidRPr="00885165" w:rsidRDefault="00885165" w:rsidP="00885165">
      <w:pPr>
        <w:spacing w:after="120" w:line="240" w:lineRule="auto"/>
        <w:ind w:left="9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5.</w:t>
      </w:r>
      <w:r w:rsidR="001272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8851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Фінансово-економічне обґрунтування</w:t>
      </w:r>
    </w:p>
    <w:p w14:paraId="230507E7" w14:textId="77777777" w:rsidR="00885165" w:rsidRPr="00885165" w:rsidRDefault="00885165" w:rsidP="00885165">
      <w:pPr>
        <w:spacing w:before="200" w:after="20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Видатки на виконання Програми здійснюватимуться за рахунок:</w:t>
      </w:r>
    </w:p>
    <w:p w14:paraId="130CF007" w14:textId="4139044F" w:rsidR="00885165" w:rsidRPr="00885165" w:rsidRDefault="00885165" w:rsidP="00D048A2">
      <w:pPr>
        <w:spacing w:before="240" w:after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</w:t>
      </w:r>
      <w:r w:rsidR="001272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коштів </w:t>
      </w:r>
      <w:r w:rsidR="00B146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ержавного бюджету України з урахув</w:t>
      </w:r>
      <w:r w:rsidR="00FB57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анням його реальних можливостей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;</w:t>
      </w:r>
    </w:p>
    <w:p w14:paraId="7260FE7A" w14:textId="58EE9B08" w:rsidR="00885165" w:rsidRPr="00885165" w:rsidRDefault="00885165" w:rsidP="00D048A2">
      <w:pPr>
        <w:spacing w:before="240" w:after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коштів місцевих бюджетів;</w:t>
      </w:r>
    </w:p>
    <w:p w14:paraId="0E0F8888" w14:textId="038F1D30" w:rsidR="00885165" w:rsidRPr="00885165" w:rsidRDefault="00885165" w:rsidP="00D048A2">
      <w:pPr>
        <w:spacing w:before="240" w:after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>- коштів підприємств питного водопостачання та централізованого водовідведення відповідно до програм їх розвитку, затверджених в установленому порядку;</w:t>
      </w:r>
    </w:p>
    <w:p w14:paraId="5A402AB3" w14:textId="618A28BF" w:rsidR="00885165" w:rsidRPr="00885165" w:rsidRDefault="00885165" w:rsidP="00D048A2">
      <w:pPr>
        <w:spacing w:before="240" w:after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 коштів міжнародних програм</w:t>
      </w:r>
      <w:r w:rsidR="009B24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технічної допомоги</w:t>
      </w:r>
      <w:r w:rsidR="00FB574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грантів та інших джерел, не заборонених законодавством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6AB30DE2" w14:textId="44670562" w:rsidR="00885165" w:rsidRPr="00885165" w:rsidRDefault="00885165" w:rsidP="00885165">
      <w:pPr>
        <w:spacing w:before="240" w:after="24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Обсяг видатків, необхідних для виконання Програми, визначається щороку з урахуванням можливостей державного та місцевих бюджетів під час формування їх показників. </w:t>
      </w:r>
      <w:bookmarkStart w:id="0" w:name="_Hlk165388516"/>
      <w:r w:rsidR="002D49FE" w:rsidRPr="002D49F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Фінансово-економічні розрахунки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bookmarkEnd w:id="0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представлено в окремому додатку до цієї </w:t>
      </w:r>
      <w:r w:rsidR="00B146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оясню</w:t>
      </w:r>
      <w:r w:rsidR="00D048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вальної записки.</w:t>
      </w:r>
    </w:p>
    <w:p w14:paraId="722896C7" w14:textId="77777777" w:rsidR="00885165" w:rsidRPr="00885165" w:rsidRDefault="00885165" w:rsidP="00885165">
      <w:pPr>
        <w:shd w:val="clear" w:color="auto" w:fill="FFFFFF"/>
        <w:spacing w:after="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</w:p>
    <w:p w14:paraId="1A2D3DEA" w14:textId="77777777" w:rsidR="00885165" w:rsidRPr="00885165" w:rsidRDefault="00885165" w:rsidP="00885165">
      <w:pPr>
        <w:spacing w:after="6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6. Позиція заінтересованих сторін</w:t>
      </w:r>
    </w:p>
    <w:p w14:paraId="54AD09F5" w14:textId="7888C781" w:rsidR="00885165" w:rsidRPr="00885165" w:rsidRDefault="00885165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Проєкт </w:t>
      </w:r>
      <w:proofErr w:type="spellStart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оприлюднено на офіційних </w:t>
      </w:r>
      <w:proofErr w:type="spellStart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вебсайтах</w:t>
      </w:r>
      <w:proofErr w:type="spellEnd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Міндовкілля</w:t>
      </w:r>
      <w:proofErr w:type="spellEnd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</w:t>
      </w:r>
      <w:proofErr w:type="spellStart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Держводагентства</w:t>
      </w:r>
      <w:proofErr w:type="spellEnd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48F8BDAF" w14:textId="77A92E9C" w:rsidR="00885165" w:rsidRPr="00885165" w:rsidRDefault="00885165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Проєкт </w:t>
      </w:r>
      <w:proofErr w:type="spellStart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9B24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не стосується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 та питань функціонування і застосування української мови як державної.</w:t>
      </w:r>
    </w:p>
    <w:p w14:paraId="0991CC14" w14:textId="77777777" w:rsidR="00885165" w:rsidRPr="00885165" w:rsidRDefault="00885165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</w:p>
    <w:p w14:paraId="394EC527" w14:textId="77777777" w:rsidR="00885165" w:rsidRPr="00885165" w:rsidRDefault="00885165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7. Оцінка відповідності</w:t>
      </w:r>
    </w:p>
    <w:p w14:paraId="1DEE3140" w14:textId="69D35187" w:rsidR="00885165" w:rsidRPr="00885165" w:rsidRDefault="00885165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Проєкт </w:t>
      </w:r>
      <w:proofErr w:type="spellStart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9B24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не стосується </w:t>
      </w:r>
      <w:r w:rsidR="009B2406" w:rsidRPr="009B24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зобов’язань України у сфері європейської інтеграції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55E4340C" w14:textId="151523CF" w:rsidR="00885165" w:rsidRPr="00885165" w:rsidRDefault="00885165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Проєкт </w:t>
      </w:r>
      <w:proofErr w:type="spellStart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9B24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не </w:t>
      </w:r>
      <w:r w:rsidR="009B2406" w:rsidRPr="009B24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стосу</w:t>
      </w:r>
      <w:r w:rsidR="009B24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є</w:t>
      </w:r>
      <w:r w:rsidR="009B2406" w:rsidRPr="009B24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ться прав та свобод, гарантованих Конвенцією про захист прав людини і основоположних свобод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2EAD9B5C" w14:textId="75987115" w:rsidR="00885165" w:rsidRPr="00885165" w:rsidRDefault="00885165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</w:t>
      </w:r>
      <w:r w:rsidR="00B146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є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кт акта не впливає на забезпечення рівних прав та можливостей жінок і чоловіків; не містить ризиків вчинення корупційних правопорушень та правопорушень, пов’язаних з корупцією; </w:t>
      </w:r>
      <w:r w:rsidR="00B146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не </w:t>
      </w:r>
      <w:proofErr w:type="spellStart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створ</w:t>
      </w:r>
      <w:r w:rsidR="00B146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ює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ть</w:t>
      </w:r>
      <w:proofErr w:type="spellEnd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підстави для дискримінації.</w:t>
      </w:r>
    </w:p>
    <w:p w14:paraId="552DDA95" w14:textId="77777777" w:rsidR="00885165" w:rsidRPr="00885165" w:rsidRDefault="00885165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Проєкт </w:t>
      </w:r>
      <w:proofErr w:type="spellStart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буде надіслано до Національного агентства з питань запобігання корупції для визначення необхідності проведення антикорупційної експертизи.</w:t>
      </w:r>
    </w:p>
    <w:p w14:paraId="5B276EE1" w14:textId="77777777" w:rsidR="00885165" w:rsidRPr="00885165" w:rsidRDefault="00885165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Проєкт </w:t>
      </w:r>
      <w:proofErr w:type="spellStart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не потребує проведення громадської антикорупційної, громадської </w:t>
      </w:r>
      <w:proofErr w:type="spellStart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антидискримінаційної</w:t>
      </w:r>
      <w:proofErr w:type="spellEnd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громадської </w:t>
      </w:r>
      <w:proofErr w:type="spellStart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гендерно</w:t>
      </w:r>
      <w:proofErr w:type="spellEnd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-правової експертиз.</w:t>
      </w:r>
    </w:p>
    <w:p w14:paraId="12D58508" w14:textId="77777777" w:rsidR="00885165" w:rsidRPr="00885165" w:rsidRDefault="00885165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</w:t>
      </w:r>
    </w:p>
    <w:p w14:paraId="245D4ED6" w14:textId="77777777" w:rsidR="00885165" w:rsidRPr="00885165" w:rsidRDefault="00885165" w:rsidP="00885165">
      <w:pPr>
        <w:spacing w:after="12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8. Прогноз результатів</w:t>
      </w:r>
    </w:p>
    <w:p w14:paraId="2AA633CC" w14:textId="74373839" w:rsidR="00885165" w:rsidRPr="00885165" w:rsidRDefault="00885165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Проєкт </w:t>
      </w:r>
      <w:proofErr w:type="spellStart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 предметом правового регулювання не має негативного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населення.</w:t>
      </w:r>
    </w:p>
    <w:p w14:paraId="451DDA99" w14:textId="77777777" w:rsidR="00885165" w:rsidRPr="00885165" w:rsidRDefault="00885165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Проєкт </w:t>
      </w:r>
      <w:proofErr w:type="spellStart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акта</w:t>
      </w:r>
      <w:proofErr w:type="spellEnd"/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 предметом правового регулювання не містить ознак регуляторного акта.</w:t>
      </w:r>
    </w:p>
    <w:p w14:paraId="2557EFFB" w14:textId="2B5D1565" w:rsidR="00885165" w:rsidRDefault="00885165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>Вплив на інтереси заінтересованих сторін наведено у таблиці</w:t>
      </w:r>
      <w:r w:rsidR="000C38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нижче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0E8B1AD5" w14:textId="77777777" w:rsidR="00FB5742" w:rsidRDefault="00FB5742" w:rsidP="00885165">
      <w:pPr>
        <w:spacing w:before="240" w:after="240" w:line="240" w:lineRule="auto"/>
        <w:ind w:firstLine="56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2268"/>
        <w:gridCol w:w="5910"/>
      </w:tblGrid>
      <w:tr w:rsidR="00885165" w:rsidRPr="00885165" w14:paraId="5C0C3FC7" w14:textId="77777777" w:rsidTr="008113F4">
        <w:trPr>
          <w:trHeight w:val="570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F80073" w14:textId="4B98BFF4" w:rsidR="00885165" w:rsidRPr="00885165" w:rsidRDefault="00885165" w:rsidP="0088516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851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Заінтересо</w:t>
            </w:r>
            <w:r w:rsidR="008113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r w:rsidRPr="008851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вана сторона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360129" w14:textId="77777777" w:rsidR="00885165" w:rsidRPr="00885165" w:rsidRDefault="00885165" w:rsidP="0088516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851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Вплив реалізації акта на заінтересовану сторону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D76360" w14:textId="77777777" w:rsidR="00885165" w:rsidRPr="00885165" w:rsidRDefault="00885165" w:rsidP="0088516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851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Пояснення очікуваного впливу</w:t>
            </w:r>
          </w:p>
        </w:tc>
      </w:tr>
      <w:tr w:rsidR="00885165" w:rsidRPr="00885165" w14:paraId="136537F8" w14:textId="77777777" w:rsidTr="008113F4">
        <w:trPr>
          <w:trHeight w:val="4022"/>
        </w:trPr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F79054" w14:textId="77777777" w:rsidR="00885165" w:rsidRPr="00885165" w:rsidRDefault="00885165" w:rsidP="00885165">
            <w:pPr>
              <w:spacing w:before="240"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851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Держава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68DAF5" w14:textId="7A8E033C" w:rsidR="00885165" w:rsidRPr="00C34D7F" w:rsidRDefault="00633724" w:rsidP="00885165">
            <w:pPr>
              <w:spacing w:before="24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C34D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Позитивний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A4A6D1" w14:textId="1F96B1A6" w:rsidR="00885165" w:rsidRPr="00885165" w:rsidRDefault="009B2406" w:rsidP="00885165">
            <w:pPr>
              <w:spacing w:before="240"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Затвердження Програми </w:t>
            </w:r>
            <w:r w:rsidR="00885165" w:rsidRPr="0088516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забезпечить виконання наступних завдань:</w:t>
            </w:r>
          </w:p>
          <w:p w14:paraId="54A09A82" w14:textId="325AA8FC" w:rsidR="00885165" w:rsidRPr="00885165" w:rsidRDefault="00885165" w:rsidP="008851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85165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uk-UA"/>
                <w14:ligatures w14:val="none"/>
              </w:rPr>
              <w:t>1. Забезпечення наявності достатньої кількості води для населення та галузей економіки.</w:t>
            </w:r>
          </w:p>
          <w:p w14:paraId="30544D5C" w14:textId="77777777" w:rsidR="00885165" w:rsidRPr="00885165" w:rsidRDefault="00885165" w:rsidP="008851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85165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uk-UA"/>
                <w14:ligatures w14:val="none"/>
              </w:rPr>
              <w:t>2. Стабільне водозабезпечення населених пунктів.</w:t>
            </w:r>
          </w:p>
          <w:p w14:paraId="2D289DFC" w14:textId="77777777" w:rsidR="00885165" w:rsidRPr="00885165" w:rsidRDefault="00885165" w:rsidP="0088516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85165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uk-UA"/>
                <w14:ligatures w14:val="none"/>
              </w:rPr>
              <w:t>3. Поліпшення використання технічних можливостей наявних схем та систем водозабезпечення (у тому числі після їх ремонту і реконструкції) та будівництво нових.</w:t>
            </w:r>
          </w:p>
          <w:p w14:paraId="0A41A50A" w14:textId="0574DDD1" w:rsidR="00885165" w:rsidRPr="00885165" w:rsidRDefault="00885165" w:rsidP="00885165">
            <w:pPr>
              <w:spacing w:before="240"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85165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uk-UA"/>
                <w14:ligatures w14:val="none"/>
              </w:rPr>
              <w:t>4. Зниження ризиків водозабезпечення шляхом диверсифікації (розподілу) джерел водопостачання</w:t>
            </w:r>
          </w:p>
        </w:tc>
      </w:tr>
      <w:tr w:rsidR="00885165" w:rsidRPr="00885165" w14:paraId="356CFE58" w14:textId="77777777" w:rsidTr="008113F4">
        <w:trPr>
          <w:trHeight w:val="3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20D593" w14:textId="5B118E9B" w:rsidR="00885165" w:rsidRPr="00885165" w:rsidRDefault="009B2406" w:rsidP="009B2406">
            <w:pPr>
              <w:spacing w:before="240"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Населення і суб’єкти господарю</w:t>
            </w:r>
            <w:r w:rsidR="008113F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вання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AE2FE2" w14:textId="68B38B6D" w:rsidR="00885165" w:rsidRPr="00885165" w:rsidRDefault="00633724" w:rsidP="00885165">
            <w:pPr>
              <w:spacing w:before="24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Позитивний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6FD5E2" w14:textId="6F6E5F2F" w:rsidR="00885165" w:rsidRPr="00885165" w:rsidRDefault="00885165" w:rsidP="009B2406">
            <w:pPr>
              <w:spacing w:before="240"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85165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uk-UA"/>
                <w14:ligatures w14:val="none"/>
              </w:rPr>
              <w:t>Підвищення рівня соціальної захищеності й гарантування доступу населення до відновлюваних, безпечних та економічно доступних водних джерел і санітарії, а також запобігання розвитку негативних депресивних соціально-ек</w:t>
            </w:r>
            <w:r w:rsidR="009B2406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uk-UA"/>
                <w14:ligatures w14:val="none"/>
              </w:rPr>
              <w:t xml:space="preserve">ономічних тенденцій на постраждалих територіях </w:t>
            </w:r>
            <w:r w:rsidRPr="00885165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uk-UA"/>
                <w14:ligatures w14:val="none"/>
              </w:rPr>
              <w:t>областей, що виникли у зв’язку з повним або ж частковим руйнуванням інфраструктури водо-забезпечення, а також втратою Каховського водосховища, як джерела водопостачання</w:t>
            </w:r>
          </w:p>
        </w:tc>
      </w:tr>
      <w:tr w:rsidR="000C381F" w:rsidRPr="00885165" w14:paraId="30AC4055" w14:textId="77777777" w:rsidTr="00857FD2">
        <w:trPr>
          <w:trHeight w:val="1591"/>
        </w:trPr>
        <w:tc>
          <w:tcPr>
            <w:tcW w:w="3928" w:type="dxa"/>
            <w:gridSpan w:val="2"/>
            <w:tcBorders>
              <w:top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14:paraId="649AC853" w14:textId="20F081BB" w:rsidR="000C381F" w:rsidRPr="00885165" w:rsidRDefault="00857FD2" w:rsidP="00857FD2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Голова Державного агентства водних ресурсів  України</w:t>
            </w:r>
          </w:p>
        </w:tc>
        <w:tc>
          <w:tcPr>
            <w:tcW w:w="5910" w:type="dxa"/>
            <w:tcBorders>
              <w:top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C2DA161" w14:textId="45AD9F41" w:rsidR="000C381F" w:rsidRDefault="000C381F" w:rsidP="00857FD2">
            <w:pPr>
              <w:spacing w:before="240" w:after="24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4EB03586" w14:textId="77777777" w:rsidR="00857FD2" w:rsidRDefault="00857FD2" w:rsidP="00857FD2">
            <w:pPr>
              <w:spacing w:before="240" w:after="24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437AEED6" w14:textId="77777777" w:rsidR="00857FD2" w:rsidRDefault="00857FD2" w:rsidP="00857FD2">
            <w:pPr>
              <w:spacing w:before="240" w:after="24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</w:p>
          <w:p w14:paraId="2103FA76" w14:textId="6F4ABB7E" w:rsidR="000C381F" w:rsidRPr="00885165" w:rsidRDefault="00857FD2" w:rsidP="00857FD2">
            <w:pPr>
              <w:spacing w:before="240" w:after="24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Михайло ЯНЧУК</w:t>
            </w:r>
          </w:p>
        </w:tc>
      </w:tr>
    </w:tbl>
    <w:p w14:paraId="0C4A0414" w14:textId="77777777" w:rsidR="00FB5742" w:rsidRDefault="00FB5742" w:rsidP="00FB5742">
      <w:pPr>
        <w:spacing w:before="240" w:after="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1DDDC26E" w14:textId="41134063" w:rsidR="00885165" w:rsidRPr="00885165" w:rsidRDefault="00885165" w:rsidP="00FB5742">
      <w:pPr>
        <w:spacing w:before="240" w:after="20" w:line="240" w:lineRule="auto"/>
        <w:contextualSpacing/>
        <w:jc w:val="both"/>
        <w:rPr>
          <w:sz w:val="28"/>
          <w:szCs w:val="28"/>
        </w:rPr>
      </w:pP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 ___  _______________ 202</w:t>
      </w:r>
      <w:r w:rsidR="00C730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4</w:t>
      </w:r>
      <w:r w:rsidRPr="0088516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р.</w:t>
      </w:r>
    </w:p>
    <w:sectPr w:rsidR="00885165" w:rsidRPr="00885165" w:rsidSect="0014793D">
      <w:pgSz w:w="11906" w:h="16838"/>
      <w:pgMar w:top="1134" w:right="567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165"/>
    <w:rsid w:val="00015213"/>
    <w:rsid w:val="00060E07"/>
    <w:rsid w:val="000C381F"/>
    <w:rsid w:val="00127225"/>
    <w:rsid w:val="0014793D"/>
    <w:rsid w:val="00196A0E"/>
    <w:rsid w:val="002B3343"/>
    <w:rsid w:val="002B43BE"/>
    <w:rsid w:val="002D49FE"/>
    <w:rsid w:val="0032178E"/>
    <w:rsid w:val="00361752"/>
    <w:rsid w:val="00370790"/>
    <w:rsid w:val="004D1756"/>
    <w:rsid w:val="004D5612"/>
    <w:rsid w:val="005B415B"/>
    <w:rsid w:val="00633724"/>
    <w:rsid w:val="00670D6B"/>
    <w:rsid w:val="006A13AC"/>
    <w:rsid w:val="00706054"/>
    <w:rsid w:val="0072693C"/>
    <w:rsid w:val="007F1DC4"/>
    <w:rsid w:val="008113F4"/>
    <w:rsid w:val="00811C2E"/>
    <w:rsid w:val="00857FD2"/>
    <w:rsid w:val="00885165"/>
    <w:rsid w:val="00894DE0"/>
    <w:rsid w:val="009B2406"/>
    <w:rsid w:val="00A80278"/>
    <w:rsid w:val="00B14609"/>
    <w:rsid w:val="00B251EB"/>
    <w:rsid w:val="00C34D7F"/>
    <w:rsid w:val="00C73016"/>
    <w:rsid w:val="00CC20CF"/>
    <w:rsid w:val="00D048A2"/>
    <w:rsid w:val="00D44D5E"/>
    <w:rsid w:val="00E96979"/>
    <w:rsid w:val="00EC6060"/>
    <w:rsid w:val="00F37297"/>
    <w:rsid w:val="00F629F9"/>
    <w:rsid w:val="00F81AB5"/>
    <w:rsid w:val="00FB5742"/>
    <w:rsid w:val="00FC2E83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CA1A"/>
  <w15:docId w15:val="{1B6C09A5-0C76-47BC-9ECF-20145040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5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5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5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516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516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51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51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51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51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5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5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5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51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51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516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5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516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516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8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d">
    <w:name w:val="Hyperlink"/>
    <w:basedOn w:val="a0"/>
    <w:uiPriority w:val="99"/>
    <w:semiHidden/>
    <w:unhideWhenUsed/>
    <w:rsid w:val="00885165"/>
    <w:rPr>
      <w:color w:val="0000FF"/>
      <w:u w:val="single"/>
    </w:rPr>
  </w:style>
  <w:style w:type="character" w:customStyle="1" w:styleId="apple-tab-span">
    <w:name w:val="apple-tab-span"/>
    <w:basedOn w:val="a0"/>
    <w:rsid w:val="00885165"/>
  </w:style>
  <w:style w:type="character" w:styleId="ae">
    <w:name w:val="annotation reference"/>
    <w:basedOn w:val="a0"/>
    <w:uiPriority w:val="99"/>
    <w:semiHidden/>
    <w:unhideWhenUsed/>
    <w:rsid w:val="0063372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63372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63372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372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33724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D04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04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919</Words>
  <Characters>6767</Characters>
  <Application>Microsoft Office Word</Application>
  <DocSecurity>0</DocSecurity>
  <Lines>178</Lines>
  <Paragraphs>88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</dc:creator>
  <cp:lastModifiedBy>ГАВРИЛЕНКО</cp:lastModifiedBy>
  <cp:revision>2</cp:revision>
  <cp:lastPrinted>2024-01-04T12:23:00Z</cp:lastPrinted>
  <dcterms:created xsi:type="dcterms:W3CDTF">2024-05-01T15:19:00Z</dcterms:created>
  <dcterms:modified xsi:type="dcterms:W3CDTF">2024-05-01T15:19:00Z</dcterms:modified>
</cp:coreProperties>
</file>